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097" w:rsidRDefault="001A7097"/>
    <w:p w:rsidR="001A7097" w:rsidRPr="001A7097" w:rsidRDefault="001A7097">
      <w:pPr>
        <w:rPr>
          <w:lang w:val="pt-BR"/>
        </w:rPr>
      </w:pPr>
      <w:r w:rsidRPr="001A7097">
        <w:rPr>
          <w:lang w:val="pt-BR"/>
        </w:rPr>
        <w:t>Mapeamento de DRX das biblioteca</w:t>
      </w:r>
      <w:r>
        <w:rPr>
          <w:lang w:val="pt-BR"/>
        </w:rPr>
        <w:t xml:space="preserve">s </w:t>
      </w:r>
      <w:r w:rsidRPr="001A7097">
        <w:rPr>
          <w:lang w:val="pt-BR"/>
        </w:rPr>
        <w:t>Al-Cu-Fe</w:t>
      </w:r>
    </w:p>
    <w:p w:rsidR="001A7097" w:rsidRPr="001A7097" w:rsidRDefault="001A7097">
      <w:pPr>
        <w:rPr>
          <w:lang w:val="pt-BR"/>
        </w:rPr>
      </w:pPr>
    </w:p>
    <w:p w:rsidR="001A7097" w:rsidRDefault="001A7097">
      <w:r w:rsidRPr="00AD30C0">
        <w:rPr>
          <w:noProof/>
        </w:rPr>
        <w:drawing>
          <wp:inline distT="0" distB="0" distL="0" distR="0" wp14:anchorId="3A90D1C0" wp14:editId="60CB7BBA">
            <wp:extent cx="5933149" cy="4743450"/>
            <wp:effectExtent l="0" t="0" r="0" b="0"/>
            <wp:docPr id="7196" name="Imagem 3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236CDAA-C6C5-4967-A144-675D542D6B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3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236CDAA-C6C5-4967-A144-675D542D6BF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9773" cy="4748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097" w:rsidRDefault="001A7097">
      <w:pPr>
        <w:rPr>
          <w:lang w:val="pt-BR"/>
        </w:rPr>
      </w:pPr>
      <w:r w:rsidRPr="001A7097">
        <w:rPr>
          <w:lang w:val="pt-BR"/>
        </w:rPr>
        <w:t>Mapeamento de DRX das bibliotecas Al-Cu-Fe. (a) Biblioteca no estado “</w:t>
      </w:r>
      <w:r w:rsidRPr="001A7097">
        <w:rPr>
          <w:i/>
          <w:lang w:val="pt-BR"/>
        </w:rPr>
        <w:t>as-sputtered</w:t>
      </w:r>
      <w:r w:rsidRPr="001A7097">
        <w:rPr>
          <w:lang w:val="pt-BR"/>
        </w:rPr>
        <w:t xml:space="preserve">”, fases: cúbica primitiva, amorfa e Al-FCC. (b) Biblioteca tratada a 400 °C, fases: cúbica primitiva, </w:t>
      </w:r>
      <w:r w:rsidRPr="00C67F16">
        <w:t>φ</w:t>
      </w:r>
      <w:r w:rsidRPr="001A7097">
        <w:rPr>
          <w:lang w:val="pt-BR"/>
        </w:rPr>
        <w:t xml:space="preserve">-Al10Cu10Fe, </w:t>
      </w:r>
      <w:r w:rsidRPr="00C67F16">
        <w:t>θ</w:t>
      </w:r>
      <w:r w:rsidRPr="001A7097">
        <w:rPr>
          <w:lang w:val="pt-BR"/>
        </w:rPr>
        <w:t xml:space="preserve">-Al2Cu, </w:t>
      </w:r>
      <w:r w:rsidRPr="00C67F16">
        <w:t>ω</w:t>
      </w:r>
      <w:r w:rsidRPr="001A7097">
        <w:rPr>
          <w:lang w:val="pt-BR"/>
        </w:rPr>
        <w:t xml:space="preserve">-Al7Cu2Fe, Al-FCC, Nanocristalina/amorfa, </w:t>
      </w:r>
      <w:r>
        <w:t>β</w:t>
      </w:r>
      <w:r w:rsidRPr="001A7097">
        <w:rPr>
          <w:lang w:val="pt-BR"/>
        </w:rPr>
        <w:t xml:space="preserve">-AlFe e </w:t>
      </w:r>
      <w:r w:rsidRPr="00C67F16">
        <w:t>λ</w:t>
      </w:r>
      <w:r w:rsidRPr="001A7097">
        <w:rPr>
          <w:lang w:val="pt-BR"/>
        </w:rPr>
        <w:t xml:space="preserve">-Al13Fe4. (c) Biblioteca tratada a 520 °C, fases: cúbica primitiva, </w:t>
      </w:r>
      <w:r w:rsidRPr="00C67F16">
        <w:t>φ</w:t>
      </w:r>
      <w:r w:rsidRPr="001A7097">
        <w:rPr>
          <w:lang w:val="pt-BR"/>
        </w:rPr>
        <w:t xml:space="preserve">-Al10Cu10Fe, </w:t>
      </w:r>
      <w:r w:rsidRPr="00C67F16">
        <w:t>θ</w:t>
      </w:r>
      <w:r w:rsidRPr="001A7097">
        <w:rPr>
          <w:lang w:val="pt-BR"/>
        </w:rPr>
        <w:t xml:space="preserve">-Al2Cu, </w:t>
      </w:r>
      <w:r w:rsidRPr="00C67F16">
        <w:t>ω</w:t>
      </w:r>
      <w:r w:rsidRPr="001A7097">
        <w:rPr>
          <w:lang w:val="pt-BR"/>
        </w:rPr>
        <w:t xml:space="preserve">-Al7Cu2Fe, Al-FCC, Nanocristalina, </w:t>
      </w:r>
      <w:r>
        <w:t>β</w:t>
      </w:r>
      <w:r w:rsidRPr="001A7097">
        <w:rPr>
          <w:lang w:val="pt-BR"/>
        </w:rPr>
        <w:t xml:space="preserve">-AlFe, i-QC e </w:t>
      </w:r>
      <w:r w:rsidRPr="00C67F16">
        <w:t>λ</w:t>
      </w:r>
      <w:r w:rsidRPr="001A7097">
        <w:rPr>
          <w:lang w:val="pt-BR"/>
        </w:rPr>
        <w:t xml:space="preserve">-Al13Fe4. (d) Biblioteca tratada a 600 °C, fases: cúbica primitiva, </w:t>
      </w:r>
      <w:r>
        <w:t>ω</w:t>
      </w:r>
      <w:r w:rsidRPr="001A7097">
        <w:rPr>
          <w:lang w:val="pt-BR"/>
        </w:rPr>
        <w:t xml:space="preserve">-Al7Cu2Fe, </w:t>
      </w:r>
      <w:r>
        <w:t>β</w:t>
      </w:r>
      <w:r w:rsidRPr="001A7097">
        <w:rPr>
          <w:lang w:val="pt-BR"/>
        </w:rPr>
        <w:t xml:space="preserve">-AlFe, i-QC e </w:t>
      </w:r>
      <w:r w:rsidRPr="00C67F16">
        <w:t>λ</w:t>
      </w:r>
      <w:r w:rsidRPr="001A7097">
        <w:rPr>
          <w:lang w:val="pt-BR"/>
        </w:rPr>
        <w:t>-Al13Fe4.</w:t>
      </w:r>
    </w:p>
    <w:p w:rsidR="00BE4C86" w:rsidRDefault="00BE4C86">
      <w:pPr>
        <w:rPr>
          <w:lang w:val="pt-BR"/>
        </w:rPr>
      </w:pPr>
    </w:p>
    <w:p w:rsidR="00BE4C86" w:rsidRDefault="00BE4C86">
      <w:pPr>
        <w:rPr>
          <w:lang w:val="pt-BR"/>
        </w:rPr>
      </w:pPr>
    </w:p>
    <w:p w:rsidR="00BE4C86" w:rsidRDefault="00BE4C86">
      <w:pPr>
        <w:rPr>
          <w:lang w:val="pt-BR"/>
        </w:rPr>
      </w:pPr>
    </w:p>
    <w:p w:rsidR="00BE4C86" w:rsidRDefault="00BE4C86">
      <w:pPr>
        <w:rPr>
          <w:lang w:val="pt-BR"/>
        </w:rPr>
      </w:pPr>
    </w:p>
    <w:p w:rsidR="00BE4C86" w:rsidRDefault="00BE4C86">
      <w:pPr>
        <w:rPr>
          <w:lang w:val="pt-BR"/>
        </w:rPr>
      </w:pPr>
    </w:p>
    <w:p w:rsidR="00BE4C86" w:rsidRDefault="00BE4C86">
      <w:pPr>
        <w:rPr>
          <w:lang w:val="pt-BR"/>
        </w:rPr>
      </w:pPr>
    </w:p>
    <w:p w:rsidR="00BE4C86" w:rsidRDefault="00BE4C86">
      <w:pPr>
        <w:rPr>
          <w:lang w:val="pt-BR"/>
        </w:rPr>
      </w:pPr>
    </w:p>
    <w:p w:rsidR="00BE4C86" w:rsidRDefault="00BE4C86">
      <w:pPr>
        <w:rPr>
          <w:lang w:val="pt-BR"/>
        </w:rPr>
      </w:pPr>
    </w:p>
    <w:p w:rsidR="00BE4C86" w:rsidRDefault="00BE4C86">
      <w:pPr>
        <w:rPr>
          <w:lang w:val="pt-BR"/>
        </w:rPr>
      </w:pPr>
      <w:r>
        <w:rPr>
          <w:noProof/>
        </w:rPr>
        <w:drawing>
          <wp:inline distT="0" distB="0" distL="0" distR="0" wp14:anchorId="2779D78E" wp14:editId="084F1CCF">
            <wp:extent cx="5705198" cy="4152900"/>
            <wp:effectExtent l="0" t="0" r="0" b="0"/>
            <wp:docPr id="7197" name="Imagem 7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50" cy="415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C86" w:rsidRDefault="00BE4C86">
      <w:pPr>
        <w:rPr>
          <w:lang w:val="pt-BR"/>
        </w:rPr>
      </w:pPr>
    </w:p>
    <w:p w:rsidR="00BE4C86" w:rsidRDefault="00BE4C86" w:rsidP="00BE4C86">
      <w:pPr>
        <w:tabs>
          <w:tab w:val="left" w:pos="2690"/>
        </w:tabs>
        <w:rPr>
          <w:lang w:val="pt-BR"/>
        </w:rPr>
      </w:pPr>
      <w:r>
        <w:rPr>
          <w:lang w:val="pt-BR"/>
        </w:rPr>
        <w:tab/>
      </w:r>
    </w:p>
    <w:p w:rsidR="00BE4C86" w:rsidRPr="001A7097" w:rsidRDefault="00BE4C86" w:rsidP="00BE4C86">
      <w:pPr>
        <w:rPr>
          <w:lang w:val="pt-BR"/>
        </w:rPr>
      </w:pPr>
      <w:r w:rsidRPr="00BE4C86">
        <w:rPr>
          <w:lang w:val="pt-BR"/>
        </w:rPr>
        <w:t>Padrões de DRX característicos das bibliotecas com suas fases mapeadas na Fig. 4.25. (a) “</w:t>
      </w:r>
      <w:r w:rsidRPr="00BE4C86">
        <w:rPr>
          <w:i/>
          <w:lang w:val="pt-BR"/>
        </w:rPr>
        <w:t>as-sputtered</w:t>
      </w:r>
      <w:r w:rsidRPr="00BE4C86">
        <w:rPr>
          <w:lang w:val="pt-BR"/>
        </w:rPr>
        <w:t>”. (b-d) Tratadas termicamente a 400, 520 e 600 °C respectivamente.</w:t>
      </w:r>
      <w:bookmarkStart w:id="0" w:name="_GoBack"/>
      <w:bookmarkEnd w:id="0"/>
    </w:p>
    <w:sectPr w:rsidR="00BE4C86" w:rsidRPr="001A70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097"/>
    <w:rsid w:val="001A7097"/>
    <w:rsid w:val="005504CE"/>
    <w:rsid w:val="00BE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7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0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7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0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Kiminami</dc:creator>
  <cp:lastModifiedBy>Daniel Kiminami</cp:lastModifiedBy>
  <cp:revision>2</cp:revision>
  <dcterms:created xsi:type="dcterms:W3CDTF">2019-10-17T20:49:00Z</dcterms:created>
  <dcterms:modified xsi:type="dcterms:W3CDTF">2019-10-17T20:49:00Z</dcterms:modified>
</cp:coreProperties>
</file>